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240"/>
        <w:jc w:val="center"/>
      </w:pPr>
      <w:r>
        <w:drawing>
          <wp:inline distT="0" distB="0" distL="0" distR="0">
            <wp:extent cx="1333500" cy="1333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A2F3B"/>
          <w:sz w:val="38"/>
          <w:szCs w:val="38"/>
        </w:rPr>
        <w:t xml:space="preserve">АГЕНТСКИЙ ДОГОВОР № ___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color w:val="2A2F3B"/>
          <w:sz w:val="26"/>
          <w:szCs w:val="26"/>
        </w:rPr>
        <w:t xml:space="preserve">на участие в торгах по банкротству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Агент: ИП   ·   Принципал: физическое лицо</w:t>
      </w:r>
    </w:p>
    <w:p>
      <w:pPr>
        <w:pBdr>
          <w:bottom w:val="single" w:color="C8A850" w:sz="12" w:space="1"/>
        </w:pBdr>
        <w:spacing w:after="180"/>
      </w:pPr>
      <w:r>
        <w:rPr>
          <w:sz w:val="2"/>
          <w:szCs w:val="2"/>
        </w:rPr>
        <w:t xml:space="preserve"/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2A2F3B"/>
          <w:sz w:val="20"/>
          <w:szCs w:val="20"/>
        </w:rPr>
        <w:t xml:space="preserve">Правовая основа: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гл. 52 ГК РФ (ст. 1005-1011); ст. 110, 111, 138.1, 139 ФЗ-127; ст. 87-89 ФЗ-229; Закон РФ № 2300-1 «О защите прав потребителей»; ФЗ-152; Приказ Минэкономразвития № 495 от 23.07.2015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г.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2"/>
                <w:szCs w:val="22"/>
              </w:rPr>
              <w:t xml:space="preserve">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0"/>
            </w:tcMar>
          </w:tcPr>
          <w:p>
            <w:pPr>
              <w:spacing w:after="120" w:before="0" w:line="30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«___»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2"/>
                <w:szCs w:val="22"/>
              </w:rPr>
              <w:t xml:space="preserve">___________ 2026 г.</w:t>
            </w:r>
          </w:p>
        </w:tc>
      </w:tr>
    </w:tbl>
    <w:p>
      <w:pPr>
        <w:spacing w:after="120" w:before="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/>
      </w:r>
    </w:p>
    <w:p>
      <w:pPr>
        <w:spacing w:after="120" w:before="0" w:lin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ИП Капустин Степан Александрович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, ИНН 590419377214, ОГРНИП 324595800072592, адрес 427620, Удмуртская Республика, г. Глазов, тел. +7 (912) 059-90-59, email lotclick@mail.ru, Telegram @LOTCLICK, именуемый в дальнейшем </w:t>
      </w: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«Агент»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, действующий на основании свидетельства о государственной регистрации в качестве индивидуального предпринимателя, с одной стороны, и</w:t>
      </w:r>
    </w:p>
    <w:p>
      <w:pPr>
        <w:spacing w:after="120" w:before="0" w:lin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Гражданин(-ка) Российской Федерации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____________________________________________</w:t>
      </w:r>
    </w:p>
    <w:p>
      <w:pPr>
        <w:spacing w:after="120" w:before="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«___» ___________ _____ г.р., паспорт серии _____ № ______________, выдан _____________________________________, «___» ___________ _____ г., код подразделения _____________,</w:t>
      </w:r>
    </w:p>
    <w:p>
      <w:pPr>
        <w:spacing w:after="120" w:before="0" w:lin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Адрес регистрации: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____________________________________________</w:t>
      </w:r>
    </w:p>
    <w:p>
      <w:pPr>
        <w:spacing w:after="120" w:before="0" w:lin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Телефон: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_______________________  Email: _______________________  ИНН: _______________________</w:t>
      </w:r>
    </w:p>
    <w:p>
      <w:pPr>
        <w:spacing w:after="200" w:before="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именуемый(-ая) в дальнейшем </w:t>
      </w: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«Принципал»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, с другой стороны, совместно именуемые </w:t>
      </w:r>
      <w:r>
        <w:rPr>
          <w:rFonts w:ascii="Arial" w:cs="Arial" w:eastAsia="Arial" w:hAnsi="Arial"/>
          <w:b/>
          <w:bCs/>
          <w:i w:val="false"/>
          <w:iCs w:val="false"/>
          <w:color w:val="2A2F3B"/>
          <w:sz w:val="22"/>
          <w:szCs w:val="22"/>
        </w:rPr>
        <w:t xml:space="preserve">«Стороны»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A2F3B"/>
          <w:sz w:val="22"/>
          <w:szCs w:val="22"/>
        </w:rPr>
        <w:t xml:space="preserve">, заключили настоящий Агентский договор о нижеследующем.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1. ПРЕДМЕТ ДОГОВОРА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1.1.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поручает, а Агент принимает обязательства за вознаграждение совершать от своего имени или от имени Принципала юридические и фактические действия, направленные на приобретение Принципалом имущества (далее «Объект»), реализуемого на торгах в рамках процедур несостоятельности (банкротства), исполнительного производства, приватизации государственного и муниципального имущества, а также иных торгов, сведения о которых публикуются на официальных сайтах торгов и электронных торговых площадках.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1.2.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Конкретные параметры Объекта (вид имущества, характеристики, предельная цена, форма торгов, наименование ЭТП, номер лота) определяются в Поручении Принципала (Приложение № 1), являющемся неотъемлемой частью Договора.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1.3.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Агент вправе привлекать к исполнению третьих лиц (субагентов, специалистов, оценщиков, удостоверяющие центры) без дополнительного согласия Принципала при условии соблюдения ФЗ-152 в части передачи персональных данных. Ответственность за действия привлечённых лиц Агент несёт как за свои собственные.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1.4.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Услуги включают: анализ лота и процедуры; проверку правоустанавливающих документов и обременений; подготовку и подачу заявки; внесение задатка по отдельному поручению; представительство интересов на ЭТП и у организатора торгов; подачу ценовых предложений в соответствии с инструкцией; получение протокола о результатах торгов; подготовку проекта договора купли-продажи; сопровождение регистрации перехода права; передачу Объекта Принципалу по акту.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1.5.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Агент не гарантирует победу в торгах. Обязательство Агента является обязательством по приложению усилий, а не обязательством по достижению результата в части признания Принципала победителем торгов.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2. ПРАВА И ОБЯЗАННОСТИ АГЕНТА</w:t>
      </w:r>
    </w:p>
    <w:p>
      <w:pPr>
        <w:pStyle w:val="Heading2"/>
        <w:spacing w:after="100" w:before="200" w:line="300"/>
      </w:pPr>
      <w:r>
        <w:rPr>
          <w:rFonts w:ascii="Arial" w:cs="Arial" w:eastAsia="Arial" w:hAnsi="Arial"/>
          <w:b/>
          <w:bCs/>
          <w:color w:val="2A2F3B"/>
          <w:sz w:val="23"/>
          <w:szCs w:val="23"/>
        </w:rPr>
        <w:t xml:space="preserve">2.1. Агент обязуется: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течение 3 рабочих дней с момента получения Поручения провести первичный анализ лота и сообщить Принципалу о выявленных рисках, обременениях, ограничениях, особенностях процедуры и рекомендуемой предельной цене;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не позднее чем за 2 рабочих дня до окончания приёма заявок направить Принципалу проекты заявки, платёжного поручения на задаток и проект договора купли-продажи, если он размещён в составе документации торгов;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подавать заявку и ценовые предложения строго в пределах утверждённой Принципалом предельной цены. Превышение предельной цены без письменного согласия Принципала влечёт ответственность Агента по разделу 5 Договора;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обеспечивать конфиденциальность сведений о Принципале, стратегии участия, внутренних ценовых лимитах и иной информации, полученной в связи с исполнением Договора;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по требованию Принципала в течение 2 рабочих дней предоставлять отчёт о ходе исполнения поручения с копиями документов;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2.1.6.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незамедлительно уведомлять Принципала об обстоятельствах, делающих невозможным исполнение Договора или существенно повышающих риск убытков (отмена или перенос торгов, отказ в приёме заявки, изменение состава лота);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2.1.7.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течение 5 рабочих дней после окончания торгов предоставить отчёт Агента с приложением подтверждающих документов и акт об оказанных услугах;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2.1.8.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содействовать возврату задатка при нарушении срока организатором торгов, включая направление претензии и жалобы в ФАС.</w:t>
      </w:r>
    </w:p>
    <w:p>
      <w:pPr>
        <w:pStyle w:val="Heading2"/>
        <w:spacing w:after="100" w:before="200" w:line="300"/>
      </w:pPr>
      <w:r>
        <w:rPr>
          <w:rFonts w:ascii="Arial" w:cs="Arial" w:eastAsia="Arial" w:hAnsi="Arial"/>
          <w:b/>
          <w:bCs/>
          <w:color w:val="2A2F3B"/>
          <w:sz w:val="23"/>
          <w:szCs w:val="23"/>
        </w:rPr>
        <w:t xml:space="preserve">2.2. Агент вправе: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2.2.1.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удерживать причитающееся вознаграждение из сумм, поступивших на его расчётный счёт в счёт исполнения Договора, с письменным уведомлением Принципала;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2.2.2.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отказаться от исполнения Поручения, если при предварительном анализе выявлены обстоятельства, делающие покупку Объекта заведомо убыточной или связанной с риском оспаривания сделки (двойная регистрация, поддельные документы, притязания третьих лиц), уведомив Принципала в течение 1 рабочего дня с обоснованием отказа;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2.2.3.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привлекать субагентов в соответствии с п. 1.3;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2.2.4.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использовать обезличенные сведения о факте оказания услуг (тип Объекта, регион, результат) в маркетинговых целях без указания персональных данных Принципала.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3. ПРАВА И ОБЯЗАННОСТИ ПРИНЦИПАЛА</w:t>
      </w:r>
    </w:p>
    <w:p>
      <w:pPr>
        <w:pStyle w:val="Heading2"/>
        <w:spacing w:after="100" w:before="200" w:line="300"/>
      </w:pPr>
      <w:r>
        <w:rPr>
          <w:rFonts w:ascii="Arial" w:cs="Arial" w:eastAsia="Arial" w:hAnsi="Arial"/>
          <w:b/>
          <w:bCs/>
          <w:color w:val="2A2F3B"/>
          <w:sz w:val="23"/>
          <w:szCs w:val="23"/>
        </w:rPr>
        <w:t xml:space="preserve">3.1. Принципал обязуется: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течение 2 рабочих дней с момента подписания предоставить Агенту копию паспорта, ИНН, СНИЛС, нотариальную доверенность по форме Приложения № 2 (при модели «от имени Принципала»), согласие супруга на сделку, нотариально удостоверенное (при приобретении недвижимости лицом в браке), согласие на обработку ПД;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своевременно перечислять задаток организатору торгов, оплату по договору купли-продажи, вознаграждение Агенту и компенсацию расходов по разделу 4;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течение 1 рабочего дня согласовывать или мотивированно отклонять представленные проекты документов. Молчание Принципала по истечении этого срока не считается согласием;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не вступать в прямые переговоры с организатором торгов, арбитражным управляющим и иными участниками без предварительного уведомления Агента;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принять Объект от Агента по акту в течение 5 рабочих дней с момента уведомления о готовности к передаче;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3.1.6.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самостоятельно нести налоговые обязательства, связанные с приобретением и владением Объектом.</w:t>
      </w:r>
    </w:p>
    <w:p>
      <w:pPr>
        <w:pStyle w:val="Heading2"/>
        <w:spacing w:after="100" w:before="200" w:line="300"/>
      </w:pPr>
      <w:r>
        <w:rPr>
          <w:rFonts w:ascii="Arial" w:cs="Arial" w:eastAsia="Arial" w:hAnsi="Arial"/>
          <w:b/>
          <w:bCs/>
          <w:color w:val="2A2F3B"/>
          <w:sz w:val="23"/>
          <w:szCs w:val="23"/>
        </w:rPr>
        <w:t xml:space="preserve">3.2. Принципал вправе: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3.2.1.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любое время отказаться от исполнения Договора с письменным уведомлением Агента, возместив фактически понесённые расходы и оплатив часть вознаграждения пропорционально выполненному объёму по п. 4.5;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3.2.2.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требовать отчёт о ходе исполнения поручения в любое время в течение срока действия Договора;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3.2.3.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изменять предельную цену и параметры Поручения путём дополнительного соглашения либо уведомлением в Telegram с письменным подтверждением в срок не позднее 1 рабочего дня;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3.2.4.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отказаться от Объекта при обнаружении существенных недостатков, не указанных в отчёте о предварительном анализе, если недостатки не были очевидны из документации торгов.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4. ВОЗНАГРАЖДЕНИЕ И КОМПЕНСАЦИЯ РАСХОДОВ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Вознаграждение Агента состоит из фиксированной и переменной частей.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Фиксированная часть составляет ______________ (__________________________) рублей и уплачивается в течение 3 рабочих дней с момента подписания Договора. Это плата за анализ лота, подготовку пакета документов, подачу заявки и участие в торгах, не зависящая от результата торгов.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Переменная часть (успех-гонорар) составляет _____% от разницы между начальной ценой лота и ценой победы, но не менее ______________ рублей при признании Принципала победителем. Уплачивается в течение 5 рабочих дней с момента заключения договора купли-продажи по результатам торгов.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Компенсация расходов Агента производится по документально подтверждённым счетам в течение 3 рабочих дней. К компенсируемым расходам относятся: нотариальные расходы, услуги оценщиков, выдача КЭП на имя Принципала, сборы ЭТП сверх стандартного тарифа, командировочные расходы по согласованию с Принципалом.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 досрочном отказе Принципала выплате подлежат: фиксированная часть в полном объёме, компенсация расходов Агента, часть переменной части по формуле P = V × (N / M), где P, причитающаяся Агенту сумма, V, переменная часть при условии победы, N, количество фактически проведённых процедур, M, предполагавшееся общее количество процедур по Поручению.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4.6.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Вознаграждение не включает НДС, поскольку на дату заключения Договора Агент применяет УСН (ст. 346.11 НК РФ) и освобождён от обязанностей плательщика НДС по п. 1 ст. 145 НК РФ в ред. ФЗ № 425-ФЗ от 28.11.2025 (лимит 20 млн рублей дохода за предшествующий год в 2026 году). При превышении указанного лимита или переходе Агента на ОСН стоимость Услуг увеличивается на сумму НДС по применяемой ставке (основная 22%, либо пониженные ставки УСН 5% или 7% без права на вычет) с уведомлением за 15 календарных дней. Новая цена оформляется дополнительным соглашением.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4.7.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Оплата осуществляется безналичным перечислением на расчётный счёт Агента. Дата оплаты, дата поступления денежных средств на счёт Агента.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5. ОТВЕТСТВЕННОСТЬ СТОРОН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соответствии с законодательством РФ и настоящим Договором.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Агент несёт ответственность за: необоснованное превышение предельной цены (в размере суммы превышения); пропуск срока подачи заявки при надлежащем Поручении и своевременном внесении задатка (возврат фиксированной части); умышленное разглашение конфиденциальной информации (возмещение реального ущерба); грубую неосторожность при проверке правоустанавливающих документов, повлёкшую оспаривание сделки по очевидным основаниям.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Агент не несёт ответственности за: отмену или признание торгов несостоявшимися по причинам, не зависящим от Агента; банкротство ЭТП, банка, организатора торгов; действия арбитражного управляющего, приводящие к расторжению сделки; добросовестные оценочные действия, основанные на документации торгов.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несёт ответственность за: предоставление недостоверных сведений (возмещение убытков + штраф 50% от фиксированной части); просрочку оплаты (пеня 0,1% за день, не более 10%); отказ от Объекта без существенных недостатков (возмещение расходов на хранение, перевозку, обеспечение сохранности).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Совокупный размер ответственности Агента ограничен суммой полученного вознаграждения, за исключением случаев умысла и грубой неосторожности.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5.6.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Ответственность Сторон в форме упущенной выгоды исключается, за исключением случаев умысла.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6. СРОК ДЕЙСТВИЯ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6.1.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Договор вступает в силу с момента подписания и действует 12 месяцев. При отсутствии письменного заявления одной из Сторон за 30 календарных дней до окончания срока Договор автоматически продлевается на следующие 12 месяцев неограниченное число раз.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6.2.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Договор может быть расторгнут: по соглашению Сторон; Принципалом в одностороннем порядке с уведомлением за 10 календарных дней; Агентом при просрочке оплаты более 20 календарных дней или предоставлении Принципалом недостоверных сведений.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6.3.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Расторжение не освобождает Стороны от исполнения обязательств, возникших до момента расторжения, включая оплату оказанных услуг, возмещение расходов и уплату неустоек.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ОБСТОЯТЕЛЬСТВА НЕПРЕОДОЛИМОЙ СИЛЫ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Ф.1.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обязательств, если оно явилось следствием обстоятельств непреодолимой силы, возникших после заключения Договора, которые Стороны не могли предвидеть и предотвратить разумными мерами (ст. 401 ГК РФ). К таким обстоятельствам относятся: стихийные бедствия, эпидемии с введением ограничений, военные действия, террористические акты, акты органов государственной власти о приостановлении работы ЭТП, банков или регистрирующих органов.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Ф.2.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Сторона, для которой стало невозможным исполнение обязательств вследствие форс-мажора, уведомляет другую Сторону в течение 72 часов с момента возникновения обстоятельств. Факт подтверждается документами Торгово-промышленной палаты РФ, МЧС России либо вступившими в силу актами органов государственной власти.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Ф.3.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Если форс-мажор длится более 30 календарных дней, любая из Сторон вправе в одностороннем внесудебном порядке отказаться от Договора. Суммы за фактически оказанные услуги и понесённые расходы возврату не подлежат.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Ф.4.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Технические сбои оборудования Сторон, перебои интернета менее 4 часов, задержки банковских переводов и нехватка у Стороны денежных средств форс-мажором не признаются.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РАЗРЕШЕНИЕ СПОРОВ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С.1.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Все споры и разногласия по Договору Стороны разрешают путём переговоров. Сторона, получившая предложение о переговорах, направляет ответ в течение 10 рабочих дней.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С.2.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Для Договора установлен обязательный претензионный порядок. Срок предъявления претензии 6 месяцев с момента, когда Сторона узнала о нарушении своих прав. Срок ответа на претензию 10 рабочих дней. Претензия направляется заказным письмом с уведомлением или по электронной почте с подтверждением прочтения.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С.3.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 недостижении согласия спор передаётся в суд общей юрисдикции по месту жительства потребителя (ст. 17 ЗоЗПП) или в арбитражный суд по подсудности. Применимое право, право Российской Федерации.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ПЕРСОНАЛЬНЫЕ ДАННЫЕ И КОНФИДЕНЦИАЛЬНОСТЬ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ПД.1.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Стороны обрабатывают персональные данные исключительно в целях исполнения Договора в соответствии с ФЗ-152 «О персональных данных». В силу ст. 9 ФЗ-152 в редакции Федерального закона № 420-ФЗ от 30.11.2024 (действует с 01.09.2025) согласие на обработку персональных данных оформляется отдельным документом, не совмещённым с другими условиями соглашения (Приложение «Согласие на обработку персональных данных»).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ПД.2.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Передача персональных данных третьим лицам допускается в объёме, необходимом для исполнения Договора: организаторам торгов, ЭТП, арбитражным управляющим, нотариусам, Росреестру, банкам, удостоверяющим центрам КЭП, операторам почтовой связи. Перечень третьих лиц указывается в Согласии.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ПД.3.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Условия Договора, стратегия участия в торгах, внутренние ценовые лимиты и иная информация, ставшая известной Сторонам, являются конфиденциальной и не подлежат разглашению в течение срока действия Договора и 3 лет после его прекращения.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ПД.4.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За умышленное разглашение конфиденциальной информации виновная Сторона возмещает документально подтверждённый реальный ущерб в полном объёме (ст. 15 ГК РФ).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ПД.5.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Стороны уведомлены об ответственности за нарушение законодательства о персональных данных: административная ответственность по ст. 13.11 КоАП РФ (штраф для юридических лиц от 150 000 до 300 000 рублей по общему составу нарушения, для неоднократных утечек, оборотные штрафы в ред. ФЗ № 420-ФЗ от 30.11.2024, действует с 30.05.2025); уголовная ответственность по ст. 272.1 УК РФ за незаконное использование или распространение персональных данных. Исполнитель обязан уведомить Роскомнадзор об утечке персональных данных в срок 24 часа.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ЗАЩИТНЫЕ ОГОВОРКИ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З.1.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подтверждает, что ознакомлен с рисками участия в торгах: признание торгов несостоявшимися, оспаривание сделки по гл. III.1 ФЗ-127, невозможность регистрации по причинам состояния Объекта, изменение рыночной стоимости, дополнительные расходы на узаконивание построек и снятие обременений.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З.2.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уведомлён о сроках оспаривания сделок должника-банкрота: 1 год с даты принятия заявления о банкротстве для сделок с неравноценным встречным исполнением (ч. 1 ст. 61.2 ФЗ-127); 3 года для сделок с целью причинения вреда кредиторам (ч. 2 ст. 61.2 ФЗ-127); 1 месяц или 6 месяцев для сделок с предпочтением (ст. 61.3 ФЗ-127). Срок для оспаривания результатов торгов, 1 год с момента, когда лицо узнало о нарушении своих прав. Применение норм разъяснено Постановлениями Пленума ВАС РФ № 63 от 23.12.2010 (в ред. Постановления Пленума ВС РФ № 32 от 19.11.2024) и Постановлением Пленума ВС РФ № 40 от 17.12.2024 (по изменениям ФЗ № 107-ФЗ от 29.05.2024).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З.3.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Агент не гарантирует абсолютную юридическую чистоту Объекта. Результаты проверки, это профессиональное суждение на основе доступных на момент проверки документов. Скрытые пороки могут быть не выявлены при обычной процедуре проверки.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З.4.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Устные заверения, обещания и рекламные материалы, не включённые в текст Договора и Приложений, юридической силы не имеют и не создают обязательств Сторон.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З.5.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действует в собственных интересах и за свой счёт, не является номинальным лицом, не легализует доходы преступным путём и не финансирует терроризм (ФЗ-115).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РЕФОРМА ТОРГОВ И БАНКРОТСТВА 2024-2026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Принципал (Покупатель, Заказчик) уведомлён о масштабной реформе процедуры банкротства и торгов, вступающей в силу поэтапно в 2024-2026 годах: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29.05.2024, пороговое значение для возбуждения дела о банкротстве юридического лица увеличено с 300 000 до 2 000 000 рублей (ФЗ № 107-ФЗ). Разъяснения в Постановлении Пленума ВС РФ № 40 от 17.12.2024 (65 пунктов);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08.09.2024, госпошлины по делам о банкротстве для кредиторов: 100 000 рублей для юридических лиц и 10 000 рублей для физических лиц; обособленные споры, 50% от обычной пошлины (ФЗ № 259-ФЗ от 08.08.2024);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01.03.2025, полный запуск системы электронного банкротства (ФЗ № 227-ФЗ от 08.08.2024): подача заявлений и документов через «Мой арбитр», собрания кредиторов по видеоконференцсвязи с идентификацией через Госуслуги, срок рассмотрения электронных заявлений 5 рабочих дней;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18.06.2025 Президиумом ВС РФ утверждён Обзор судебной практики по делам о банкротстве граждан (65 правовых позиций), 25.04.2025 Обзор за 2024 год; 23.12.2025 Пленум ВС РФ № 41 о требованиях контролирующих должника лиц;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РТ.1.5.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01.01.2026, отмена обязательной публикации сведений о банкротстве в газете «Коммерсантъ» и в «Вестнике Банка России». Все сообщения публикуются только в ЕФРСБ (bankrot.fedresurs.ru);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РТ.1.6.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01.01.2026, новые требования к рекламе услуг, связанных с банкротством граждан (ст. 28.1 ФЗ-38 «О рекламе» в ред. ФЗ № 332-ФЗ от 31.07.2025): обязательное предупреждение о негативных последствиях не менее 7% рекламной площади, запрет гарантий освобождения от долгов и призывов не исполнять обязательства;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РТ.1.7.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 01.07.2026, имущественные торги проводятся по единым правилам. Планируется изменение схемы торгов: в рамках одной процедуры цена идёт на повышение, при отсутствии заявок, снижается до первого предложения, затем снова на повышение (отказ от торгов в форме публичного предложения в перспективе);</w:t>
      </w:r>
    </w:p>
    <w:p>
      <w:pPr>
        <w:spacing w:after="70" w:before="30" w:line="300"/>
        <w:ind w:left="360" w:hanging="18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РТ.1.8.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срок оспаривания сделок должника-банкрота: 1 год (ч. 1 ст. 61.2 ФЗ-127, неравноценное встречное исполнение); 3 года (ч. 2 ст. 61.2 ФЗ-127, с целью причинения вреда кредиторам); 1 или 6 месяцев (ст. 61.3 ФЗ-127, сделки с предпочтением). Срок оспаривания результатов торгов, 1 год с момента, когда лицо узнало о нарушении прав (ст. 449 ГК РФ).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РТ.2.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 силу неустоявшейся правоприменительной практики переходного периода Стороны договариваются о готовности к внесению изменений в Договор при существенном изменении регулирования. Агент (Исполнитель) отслеживает законодательные новеллы и информирует Принципала об их влиянии на исполнение обязательств в срок 10 рабочих дней с момента публикации соответствующего нормативного акта.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ПРОЧИЕ УСЛОВИЯ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П.1.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Все изменения и дополнения к Договору оформляются в письменной форме путём подписания дополнительного соглашения.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П.2.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Стороны признают юридическую силу документов, направленных по адресам электронной почты и через мессенджер Telegram, указанным в разделе реквизитов. Письменное оформление не позднее 5 рабочих дней с момента переписки.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П.3.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Договор составлен в 2 экземплярах, имеющих одинаковую юридическую силу, по одному для каждой из Сторон. При оформлении в электронном виде с применением квалифицированных электронных подписей Договор считается заключённым в единственном экземпляре, хранящемся у каждой Стороны.</w:t>
      </w:r>
    </w:p>
    <w:p>
      <w:pPr>
        <w:spacing w:after="90" w:before="40" w:line="300"/>
      </w:pPr>
      <w:r>
        <w:rPr>
          <w:rFonts w:ascii="Arial" w:cs="Arial" w:eastAsia="Arial" w:hAnsi="Arial"/>
          <w:b/>
          <w:bCs/>
          <w:color w:val="2A2F3B"/>
          <w:sz w:val="22"/>
          <w:szCs w:val="22"/>
        </w:rPr>
        <w:t xml:space="preserve">П.4.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Во всём,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Heading1"/>
        <w:pBdr>
          <w:bottom w:val="single" w:color="D6001C" w:sz="8" w:space="4"/>
        </w:pBdr>
        <w:spacing w:after="160" w:before="320" w:line="300"/>
      </w:pPr>
      <w:r>
        <w:rPr>
          <w:rFonts w:ascii="Arial" w:cs="Arial" w:eastAsia="Arial" w:hAnsi="Arial"/>
          <w:b/>
          <w:bCs/>
          <w:color w:val="2A2F3B"/>
          <w:sz w:val="26"/>
          <w:szCs w:val="26"/>
        </w:rPr>
        <w:t xml:space="preserve">АДРЕСА, РЕКВИЗИТЫ И ПОДПИСИ СТОРОН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8A850" w:sz="6"/>
              <w:left w:val="single" w:color="C8A850" w:sz="6"/>
              <w:bottom w:val="single" w:color="C8A850" w:sz="6"/>
              <w:right w:val="single" w:color="C8A850" w:sz="6"/>
            </w:tcBorders>
            <w:shd w:fill="F5F3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2A2F3B"/>
                <w:sz w:val="24"/>
                <w:szCs w:val="24"/>
              </w:rPr>
              <w:t xml:space="preserve">АГЕНТ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Наименование: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ИП Капустин Степан Александрович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ИНН: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590419377214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ОГРНИП: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324595800072592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Адрес: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427620, Удмуртская Республика, г. Глазов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Тел.: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+7 (912) 059-90-59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Email: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lotclick@mail.ru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Telegram: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@LOTCLICK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Сайт: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lot-click.ru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Р/с: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Банк: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БИК: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  К/с: ____________</w:t>
            </w:r>
          </w:p>
          <w:p>
            <w:pPr>
              <w:spacing w:after="0" w:befor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_____________________ /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С.А. Капустин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(подпись, расшифровка)</w:t>
            </w:r>
          </w:p>
        </w:tc>
        <w:tc>
          <w:tcPr>
            <w:tcW w:type="dxa" w:w="4680"/>
            <w:tcBorders>
              <w:top w:val="single" w:color="C8A850" w:sz="6"/>
              <w:left w:val="single" w:color="C8A850" w:sz="6"/>
              <w:bottom w:val="single" w:color="C8A850" w:sz="6"/>
              <w:right w:val="single" w:color="C8A850" w:sz="6"/>
            </w:tcBorders>
            <w:shd w:fill="F5F3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2A2F3B"/>
                <w:sz w:val="24"/>
                <w:szCs w:val="24"/>
              </w:rPr>
              <w:t xml:space="preserve">ПРИНЦИПАЛ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ФИО: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Дата рождения: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Паспорт серия: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 № 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Выдан: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«___» _________ _____ г.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Код подразделения: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Адрес регистрации: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Фактический адрес: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Тел.: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Email: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ИНН: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__________________________</w:t>
            </w:r>
          </w:p>
          <w:p>
            <w:pPr>
              <w:spacing w:after="120" w:before="0" w:line="3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0"/>
                <w:szCs w:val="20"/>
              </w:rPr>
              <w:t xml:space="preserve">СНИЛС: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A2F3B"/>
                <w:sz w:val="20"/>
                <w:szCs w:val="20"/>
              </w:rPr>
              <w:t xml:space="preserve"> ________________________</w:t>
            </w:r>
          </w:p>
          <w:p>
            <w:pPr>
              <w:spacing w:after="0" w:befor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_____________________ /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A2F3B"/>
                <w:sz w:val="22"/>
                <w:szCs w:val="22"/>
              </w:rPr>
              <w:t xml:space="preserve">__________________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(подпись, расшифровка)</w:t>
            </w:r>
          </w:p>
        </w:tc>
      </w:tr>
    </w:tbl>
    <w:p>
      <w:pPr>
        <w:spacing w:after="120" w:before="360"/>
        <w:jc w:val="center"/>
      </w:pPr>
      <w:r>
        <w:drawing>
          <wp:inline distT="0" distB="0" distL="0" distR="0">
            <wp:extent cx="914400" cy="9144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Актуальная редакция и все приложения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D6001C"/>
          <w:sz w:val="22"/>
          <w:szCs w:val="22"/>
        </w:rPr>
        <w:t xml:space="preserve">lot-click.ru</w:t>
      </w:r>
    </w:p>
    <w:sectPr>
      <w:headerReference w:type="default" r:id="rId7"/>
      <w:footerReference w:type="default" r:id="rId8"/>
      <w:pgSz w:w="11906" w:h="16838" w:orient="portrait"/>
      <w:pgMar w:top="1200" w:right="1200" w:bottom="1440" w:left="1200" w:header="400" w:footer="4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360"/>
      <w:tblBorders>
        <w:top w:val="single" w:color="C8A850" w:sz="4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1440"/>
      <w:gridCol w:w="5760"/>
      <w:gridCol w:w="2160"/>
    </w:tblGrid>
    <w:tr>
      <w:tc>
        <w:tcPr>
          <w:tcW w:type="dxa" w:w="144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80"/>
            <w:right w:type="dxa" w:w="80"/>
          </w:tcMar>
          <w:vAlign w:val="center"/>
        </w:tcPr>
        <w:p>
          <w:pPr>
            <w:spacing w:after="0"/>
            <w:jc w:val="left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7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80"/>
            <w:bottom w:type="dxa" w:w="80"/>
            <w:right w:type="dxa" w:w="80"/>
          </w:tcMar>
          <w:vAlign w:val="center"/>
        </w:tcPr>
        <w:p>
          <w:pPr>
            <w:spacing w:after="30"/>
          </w:pPr>
          <w:r>
            <w:rPr>
              <w:rFonts w:ascii="Arial" w:cs="Arial" w:eastAsia="Arial" w:hAnsi="Arial"/>
              <w:b/>
              <w:bCs/>
              <w:color w:val="2A2F3B"/>
              <w:sz w:val="18"/>
              <w:szCs w:val="18"/>
            </w:rPr>
            <w:t xml:space="preserve">ЛОТ·КЛИК</w:t>
          </w:r>
          <w:r>
            <w:rPr>
              <w:rFonts w:ascii="Arial" w:cs="Arial" w:eastAsia="Arial" w:hAnsi="Arial"/>
              <w:color w:val="555555"/>
              <w:sz w:val="16"/>
              <w:szCs w:val="16"/>
            </w:rPr>
            <w:t xml:space="preserve">  ·  брокерское сопровождение торгов по банкротству</w:t>
          </w:r>
        </w:p>
        <w:p>
          <w:pPr>
            <w:spacing w:after="0"/>
          </w:pPr>
          <w:r>
            <w:rPr>
              <w:rFonts w:ascii="Arial" w:cs="Arial" w:eastAsia="Arial" w:hAnsi="Arial"/>
              <w:color w:val="555555"/>
              <w:sz w:val="15"/>
              <w:szCs w:val="15"/>
            </w:rPr>
            <w:t xml:space="preserve">ИП Капустин С.А.   ИНН 590419377214   ОГРНИП 324595800072592</w:t>
          </w:r>
        </w:p>
        <w:p>
          <w:pPr>
            <w:spacing w:after="0"/>
          </w:pPr>
          <w:r>
            <w:rPr>
              <w:rFonts w:ascii="Arial" w:cs="Arial" w:eastAsia="Arial" w:hAnsi="Arial"/>
              <w:color w:val="555555"/>
              <w:sz w:val="15"/>
              <w:szCs w:val="15"/>
            </w:rPr>
            <w:t xml:space="preserve">lot-click.ru  ·  lotclick@mail.ru  ·  +7 (912) 059-90-59  ·  @LOTCLICK</w:t>
          </w:r>
        </w:p>
      </w:tc>
      <w:tc>
        <w:tcPr>
          <w:tcW w:type="dxa" w:w="21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80"/>
            <w:bottom w:type="dxa" w:w="80"/>
            <w:right w:type="dxa" w:w="0"/>
          </w:tcMar>
          <w:vAlign w:val="center"/>
        </w:tcPr>
        <w:p>
          <w:pPr>
            <w:spacing w:after="0"/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с. </w:t>
          </w:r>
          <w:r>
            <w:rPr>
              <w:rFonts w:ascii="Arial" w:cs="Arial" w:eastAsia="Arial" w:hAnsi="Arial"/>
              <w:b/>
              <w:bCs/>
              <w:color w:val="2A2F3B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 из </w:t>
          </w:r>
          <w:r>
            <w:rPr>
              <w:rFonts w:ascii="Arial" w:cs="Arial" w:eastAsia="Arial" w:hAnsi="Arial"/>
              <w:b/>
              <w:bCs/>
              <w:color w:val="2A2F3B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center"/>
    </w:pPr>
    <w:r>
      <w:drawing>
        <wp:inline distT="0" distB="0" distL="0" distR="0">
          <wp:extent cx="6286500" cy="5048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2A2F3B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A2F3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11def6a9b086dce92154835debd50d9a6744366.png"/><Relationship Id="rId10" Type="http://schemas.openxmlformats.org/officeDocument/2006/relationships/image" Target="media/138d511de5ba2b36134d37241733e2703cb4bf44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38d511de5ba2b36134d37241733e2703cb4bf4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21286d3f2e45b10fa1a3d14632e576b35860fd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ЛОТ·КЛИК (физлицо)</dc:title>
  <dc:creator>ЛОТ·КЛИК</dc:creator>
  <dc:description>Полное сопровождение участия в торгах по банкротству</dc:description>
  <cp:lastModifiedBy>Un-named</cp:lastModifiedBy>
  <cp:revision>1</cp:revision>
  <dcterms:created xsi:type="dcterms:W3CDTF">2026-04-22T07:31:42.052Z</dcterms:created>
  <dcterms:modified xsi:type="dcterms:W3CDTF">2026-04-22T07:31:42.053Z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